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B068" w14:textId="4669B3A7" w:rsidR="008B31A6" w:rsidRDefault="00814E11" w:rsidP="000A2D18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Hlk59613405"/>
      <w:r w:rsidRPr="00814E11">
        <w:rPr>
          <w:rFonts w:ascii="Arial" w:hAnsi="Arial" w:cs="Arial"/>
          <w:color w:val="000000"/>
          <w:sz w:val="21"/>
          <w:szCs w:val="21"/>
        </w:rPr>
        <w:t>Muzeum Narodowe w Warszawie w związku z realizacją projektu pn. „Rozwój infrastruktury kultury Muzeum Wnętrz w Otwocku Wielkim” realizowanego z dofinansowaniem z Programu Fundusze Europejskie na Infrastrukturę i Środowisko 2021-2027, Priorytet FENX.07. Kultura, Działanie FENX.07.01. Infrastruktura kultury i turystyki kulturowej, ogłasza nabór na stanowisko</w:t>
      </w:r>
      <w:r w:rsidR="000A2D18" w:rsidRPr="000A2D18">
        <w:rPr>
          <w:rFonts w:ascii="Arial" w:hAnsi="Arial" w:cs="Arial"/>
          <w:color w:val="000000"/>
          <w:sz w:val="21"/>
          <w:szCs w:val="21"/>
        </w:rPr>
        <w:t>:</w:t>
      </w:r>
    </w:p>
    <w:p w14:paraId="026986AF" w14:textId="77777777" w:rsidR="00776E55" w:rsidRDefault="00776E55" w:rsidP="00BA223A">
      <w:pPr>
        <w:spacing w:after="120" w:line="240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zh-TW"/>
        </w:rPr>
      </w:pPr>
    </w:p>
    <w:p w14:paraId="252F4B7D" w14:textId="13C355AF" w:rsidR="00BA223A" w:rsidRDefault="00814E11" w:rsidP="00BA223A">
      <w:pPr>
        <w:spacing w:after="120" w:line="240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zh-TW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TW"/>
        </w:rPr>
        <w:t xml:space="preserve">Kierownik / Kierowniczka Projektu </w:t>
      </w:r>
    </w:p>
    <w:p w14:paraId="0AF26826" w14:textId="53F31627" w:rsidR="00D17393" w:rsidRPr="00D17393" w:rsidRDefault="00D17393" w:rsidP="00D17393">
      <w:pPr>
        <w:spacing w:after="120" w:line="240" w:lineRule="auto"/>
        <w:jc w:val="center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D1739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Miejsce pracy: </w:t>
      </w:r>
      <w:r w:rsidR="00814E1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Muzeum Wnętrz w Otwocku Wielkim / </w:t>
      </w:r>
      <w:r w:rsidRPr="00D1739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Gmach Główny MNW </w:t>
      </w:r>
    </w:p>
    <w:bookmarkEnd w:id="0"/>
    <w:p w14:paraId="0711E8ED" w14:textId="77777777" w:rsidR="00776E55" w:rsidRDefault="00776E55" w:rsidP="00745EA8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179E1A2A" w14:textId="77777777" w:rsidR="00D17393" w:rsidRPr="00D17393" w:rsidRDefault="00D17393" w:rsidP="00D17393">
      <w:pPr>
        <w:rPr>
          <w:rFonts w:ascii="Arial" w:hAnsi="Arial" w:cs="Arial"/>
          <w:b/>
        </w:rPr>
      </w:pPr>
      <w:r w:rsidRPr="00D17393">
        <w:rPr>
          <w:rFonts w:ascii="Arial" w:hAnsi="Arial" w:cs="Arial"/>
          <w:b/>
        </w:rPr>
        <w:t>Główne zadania na stanowisku:</w:t>
      </w:r>
    </w:p>
    <w:p w14:paraId="64A06054" w14:textId="6F77A3D8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nadzór nad realizacją projektu zgodnie z umową o dofinansowanie oraz wnioskiem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o dofinansowanie, w szczególności z harmonogramem i budżetem projektu; </w:t>
      </w:r>
    </w:p>
    <w:p w14:paraId="779C6A20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nadzór i koordynacja pracy zespołu projektowego, w tym organizacja cyklicznych spotkań zespołu projektowego i uczestniczenie w nich; </w:t>
      </w:r>
    </w:p>
    <w:p w14:paraId="46A0583E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odpowiedzialność za stały monitoring postępu rzeczowo-finansowego projektu; </w:t>
      </w:r>
    </w:p>
    <w:p w14:paraId="10661DDD" w14:textId="5BD57719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odpowiedzialność za bieżące monitorowanie stopnia osiągnięcia wskaźników produktu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i rezultatów przewidzianych we wniosku o dofinansowanie projektu; </w:t>
      </w:r>
    </w:p>
    <w:p w14:paraId="38946ADF" w14:textId="2760C5C6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bieżąca kontrola harmonogramu realizacji projektu, podejmowanie działań korygujących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w przypadku opóźnień lub odchyleń od harmonogramu i aktualizacja harmonogramu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w miarę potrzeb; </w:t>
      </w:r>
    </w:p>
    <w:p w14:paraId="30D4C0B5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nadzór nad prawidłowym przygotowaniem wniosków o płatność, w tym wniosku końcowego; </w:t>
      </w:r>
    </w:p>
    <w:p w14:paraId="6CF1B578" w14:textId="2746EDFF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odpowiedzialność za przygotowywanie dokumentacji formalnej związanej z projektem,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w tym rzetelnych i prawidłowych sprawozdań i raportów w obowiązujących terminach; </w:t>
      </w:r>
    </w:p>
    <w:p w14:paraId="0FCBB502" w14:textId="67252966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 xml:space="preserve">odpowiedzialność za rozliczenie rzeczowe i finansowe całego Projektu zgodne </w:t>
      </w:r>
      <w:r w:rsidR="00C76F0F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z faktycznym stanem realizacji Projektu; </w:t>
      </w:r>
    </w:p>
    <w:p w14:paraId="14EBBD4F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zarządzanie ryzykiem w projekcie; </w:t>
      </w:r>
    </w:p>
    <w:p w14:paraId="32CA404A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raportowanie do Komitetu Sterującego o przebiegu realizacji projektu, w tym informowanie o nienależytym wypełnianiu zadań przez podległych członków zespołu projektowego oraz przez wykonawców realizujących działania w projekcie; </w:t>
      </w:r>
    </w:p>
    <w:p w14:paraId="14112064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odpowiedzialność za rozstrzyganie (w porozumieniu z Komitetem Sterującym) ewentualnych sporów i problemów w projekcie; </w:t>
      </w:r>
    </w:p>
    <w:p w14:paraId="70145712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proponowanie oraz wdrażanie rozwiązań prowadzących do ulepszania procesów projektowych i proceduralnych; </w:t>
      </w:r>
    </w:p>
    <w:p w14:paraId="575D36F6" w14:textId="77777777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odpowiedzialność za kontakt z Instytucją Pośredniczącą (</w:t>
      </w:r>
      <w:proofErr w:type="spellStart"/>
      <w:r w:rsidRPr="00814E11">
        <w:rPr>
          <w:rFonts w:ascii="Arial" w:eastAsiaTheme="minorEastAsia" w:hAnsi="Arial" w:cs="Arial"/>
          <w:sz w:val="21"/>
          <w:szCs w:val="21"/>
          <w:lang w:eastAsia="zh-TW"/>
        </w:rPr>
        <w:t>MKiDN</w:t>
      </w:r>
      <w:proofErr w:type="spellEnd"/>
      <w:r w:rsidRPr="00814E11">
        <w:rPr>
          <w:rFonts w:ascii="Arial" w:eastAsiaTheme="minorEastAsia" w:hAnsi="Arial" w:cs="Arial"/>
          <w:sz w:val="21"/>
          <w:szCs w:val="21"/>
          <w:lang w:eastAsia="zh-TW"/>
        </w:rPr>
        <w:t>); </w:t>
      </w:r>
    </w:p>
    <w:p w14:paraId="2E126B16" w14:textId="2CC72FEE" w:rsidR="00814E11" w:rsidRPr="00814E11" w:rsidRDefault="00814E11" w:rsidP="00814E11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14E11">
        <w:rPr>
          <w:rFonts w:ascii="Arial" w:eastAsiaTheme="minorEastAsia" w:hAnsi="Arial" w:cs="Arial"/>
          <w:sz w:val="21"/>
          <w:szCs w:val="21"/>
          <w:lang w:eastAsia="zh-TW"/>
        </w:rPr>
        <w:t>obsługa kontroli wewnętrznych i zewnętrznych związanych z realizacją projektu</w:t>
      </w:r>
      <w:r>
        <w:rPr>
          <w:rFonts w:ascii="Arial" w:eastAsiaTheme="minorEastAsia" w:hAnsi="Arial" w:cs="Arial"/>
          <w:sz w:val="21"/>
          <w:szCs w:val="21"/>
          <w:lang w:eastAsia="zh-TW"/>
        </w:rPr>
        <w:t>.</w:t>
      </w:r>
    </w:p>
    <w:p w14:paraId="7114D54B" w14:textId="55217B3A" w:rsidR="001624E4" w:rsidRDefault="001624E4" w:rsidP="001624E4">
      <w:pPr>
        <w:spacing w:line="360" w:lineRule="auto"/>
        <w:ind w:left="851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00814394" w14:textId="6347782B" w:rsidR="00776E55" w:rsidRDefault="00776E55" w:rsidP="001624E4">
      <w:pPr>
        <w:spacing w:line="360" w:lineRule="auto"/>
        <w:ind w:left="851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47DA0268" w14:textId="77777777" w:rsidR="006B3185" w:rsidRDefault="006B3185" w:rsidP="001624E4">
      <w:pPr>
        <w:spacing w:line="360" w:lineRule="auto"/>
        <w:ind w:left="851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27EDAA32" w14:textId="52D6E8BA" w:rsidR="00D17393" w:rsidRPr="00D17393" w:rsidRDefault="00801669" w:rsidP="00D173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niezbędne stawiane</w:t>
      </w:r>
      <w:r w:rsidR="00D17393" w:rsidRPr="00D17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kandydatom</w:t>
      </w:r>
      <w:r w:rsidR="00D17393" w:rsidRPr="00D17393">
        <w:rPr>
          <w:rFonts w:ascii="Arial" w:hAnsi="Arial" w:cs="Arial"/>
          <w:b/>
        </w:rPr>
        <w:t>:</w:t>
      </w:r>
    </w:p>
    <w:p w14:paraId="12FD9FFD" w14:textId="0D3DC6EE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wykształcenie wyższe (techniczne); </w:t>
      </w:r>
    </w:p>
    <w:p w14:paraId="26EF6FF9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doświadczenie w kierowaniu projektami infrastrukturalnymi finansowanymi ze środków europejskich </w:t>
      </w:r>
    </w:p>
    <w:p w14:paraId="4AA76CBD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doświadczenie w kierowaniu projektami remontowo-budowalnymi w obiektach zabytkowych </w:t>
      </w:r>
    </w:p>
    <w:p w14:paraId="14035ADE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co najmniej 2-letnie doświadczenie w zarządzaniu projektami współfinansowanymi ze środków zewnętrznych; </w:t>
      </w:r>
    </w:p>
    <w:p w14:paraId="2218D146" w14:textId="4821AC0A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doświadczenie w zarządzaniu zespołem</w:t>
      </w:r>
      <w:r>
        <w:rPr>
          <w:rFonts w:ascii="Arial" w:eastAsiaTheme="minorEastAsia" w:hAnsi="Arial" w:cs="Arial"/>
          <w:sz w:val="21"/>
          <w:szCs w:val="21"/>
          <w:lang w:eastAsia="zh-TW"/>
        </w:rPr>
        <w:t xml:space="preserve"> / zespołami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liczącym</w:t>
      </w:r>
      <w:r>
        <w:rPr>
          <w:rFonts w:ascii="Arial" w:eastAsiaTheme="minorEastAsia" w:hAnsi="Arial" w:cs="Arial"/>
          <w:sz w:val="21"/>
          <w:szCs w:val="21"/>
          <w:lang w:eastAsia="zh-TW"/>
        </w:rPr>
        <w:t xml:space="preserve">i 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minimum 10 osób</w:t>
      </w:r>
      <w:r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2D214133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znajomość dokumentów dotyczących programów operacyjnych finansowanych z EFS lub EFRR na lata 2014–2020, 2021-2027; </w:t>
      </w:r>
    </w:p>
    <w:p w14:paraId="6FCF020A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orientacja w zagadnieniach będących przedmiotem projektu tj. infrastruktura, środowisko, kultura; </w:t>
      </w:r>
    </w:p>
    <w:p w14:paraId="738E2288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bardzo dobra znajomość MS Office, w szczególności biegła obsługa arkuszy kalkulacyjnych Excel; </w:t>
      </w:r>
    </w:p>
    <w:p w14:paraId="2ECFA0A3" w14:textId="77777777" w:rsidR="00801669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ogólna wiedza na temat Programu Fundusze Europejskie na Infrastrukturę i Środowisko 2021-2027; </w:t>
      </w:r>
    </w:p>
    <w:p w14:paraId="7946FF59" w14:textId="2FA8F022" w:rsidR="00620BBB" w:rsidRPr="00801669" w:rsidRDefault="00801669" w:rsidP="00801669">
      <w:pPr>
        <w:numPr>
          <w:ilvl w:val="0"/>
          <w:numId w:val="4"/>
        </w:numPr>
        <w:spacing w:line="360" w:lineRule="auto"/>
        <w:ind w:left="851" w:hanging="491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wiedza z zakresu zasad funkcjonowania administracji publicznej (</w:t>
      </w:r>
      <w:r>
        <w:rPr>
          <w:rFonts w:ascii="Arial" w:eastAsiaTheme="minorEastAsia" w:hAnsi="Arial" w:cs="Arial"/>
          <w:sz w:val="21"/>
          <w:szCs w:val="21"/>
          <w:lang w:eastAsia="zh-TW"/>
        </w:rPr>
        <w:t>zamówienia publiczne).</w:t>
      </w:r>
    </w:p>
    <w:p w14:paraId="5D7C9F81" w14:textId="7B1A87D0" w:rsidR="00B86008" w:rsidRDefault="00801669" w:rsidP="008E0D3C">
      <w:pPr>
        <w:spacing w:line="360" w:lineRule="auto"/>
        <w:contextualSpacing/>
        <w:rPr>
          <w:rFonts w:ascii="Arial" w:hAnsi="Arial" w:cs="Arial"/>
          <w:b/>
        </w:rPr>
      </w:pPr>
      <w:r w:rsidRPr="00801669">
        <w:rPr>
          <w:rFonts w:ascii="Arial" w:hAnsi="Arial" w:cs="Arial"/>
          <w:b/>
        </w:rPr>
        <w:t>Wymagania dodatkowe:</w:t>
      </w:r>
    </w:p>
    <w:p w14:paraId="3FE00D44" w14:textId="77777777" w:rsidR="008E0D3C" w:rsidRPr="008E0D3C" w:rsidRDefault="008E0D3C" w:rsidP="008E0D3C">
      <w:pPr>
        <w:spacing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I. </w:t>
      </w:r>
    </w:p>
    <w:p w14:paraId="4E751226" w14:textId="10174D44" w:rsidR="00B366E4" w:rsidRDefault="00B366E4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>
        <w:rPr>
          <w:rFonts w:ascii="Arial" w:eastAsiaTheme="minorEastAsia" w:hAnsi="Arial" w:cs="Arial"/>
          <w:sz w:val="21"/>
          <w:szCs w:val="21"/>
          <w:lang w:eastAsia="zh-TW"/>
        </w:rPr>
        <w:t>certyfikat PRINCE2;</w:t>
      </w:r>
    </w:p>
    <w:p w14:paraId="1169B443" w14:textId="46C6AA03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 xml:space="preserve">znajomość zasad funkcjonowania i realizacji funduszy pomocowych UE, w tym wiedza nt. </w:t>
      </w:r>
      <w:proofErr w:type="spellStart"/>
      <w:r w:rsidRPr="008E0D3C">
        <w:rPr>
          <w:rFonts w:ascii="Arial" w:eastAsiaTheme="minorEastAsia" w:hAnsi="Arial" w:cs="Arial"/>
          <w:sz w:val="21"/>
          <w:szCs w:val="21"/>
          <w:lang w:eastAsia="zh-TW"/>
        </w:rPr>
        <w:t>FEnIKS</w:t>
      </w:r>
      <w:proofErr w:type="spellEnd"/>
      <w:r w:rsidRPr="008E0D3C">
        <w:rPr>
          <w:rFonts w:ascii="Arial" w:eastAsiaTheme="minorEastAsia" w:hAnsi="Arial" w:cs="Arial"/>
          <w:sz w:val="21"/>
          <w:szCs w:val="21"/>
          <w:lang w:eastAsia="zh-TW"/>
        </w:rPr>
        <w:t>; </w:t>
      </w:r>
    </w:p>
    <w:p w14:paraId="52D55250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znajomość systemu informatycznego CST2021; </w:t>
      </w:r>
    </w:p>
    <w:p w14:paraId="5CC3BBF3" w14:textId="5D1D4400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 xml:space="preserve">znajomość zasad kwalifikowalności kosztów w ramach projektów współfinansowanych </w:t>
      </w:r>
      <w:r w:rsidR="00B366E4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z funduszy UE; </w:t>
      </w:r>
    </w:p>
    <w:p w14:paraId="5C0E40E7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doświadczenie w pracy w sektorze kultury; </w:t>
      </w:r>
    </w:p>
    <w:p w14:paraId="29DCBFC7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umiejętność pracy w systemach elektronicznego zarządzania dokumentacją (EZD); </w:t>
      </w:r>
    </w:p>
    <w:p w14:paraId="14B5F150" w14:textId="76D5B994" w:rsid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znajomość języka angielskiego na poziomie min. B2; </w:t>
      </w:r>
    </w:p>
    <w:p w14:paraId="003D67D8" w14:textId="7CFC88C8" w:rsidR="00B366E4" w:rsidRPr="008E0D3C" w:rsidRDefault="00B366E4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>
        <w:rPr>
          <w:rFonts w:ascii="Arial" w:eastAsiaTheme="minorEastAsia" w:hAnsi="Arial" w:cs="Arial"/>
          <w:sz w:val="21"/>
          <w:szCs w:val="21"/>
          <w:lang w:eastAsia="zh-TW"/>
        </w:rPr>
        <w:t>czynne prawo jazdy kat. B;</w:t>
      </w:r>
    </w:p>
    <w:p w14:paraId="04D7E817" w14:textId="0F2B4478" w:rsidR="008E0D3C" w:rsidRPr="008E0D3C" w:rsidRDefault="008E0D3C" w:rsidP="00B366E4">
      <w:pPr>
        <w:spacing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II. </w:t>
      </w:r>
    </w:p>
    <w:p w14:paraId="69EF6690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umiejętność pracy zespołowej; </w:t>
      </w:r>
    </w:p>
    <w:p w14:paraId="203E8299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skrupulatność i terminowość; </w:t>
      </w:r>
    </w:p>
    <w:p w14:paraId="1924EAB8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bardzo dobra organizacja pracy; </w:t>
      </w:r>
    </w:p>
    <w:p w14:paraId="384D6518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umiejętność analitycznego myślenia; </w:t>
      </w:r>
    </w:p>
    <w:p w14:paraId="0C2C11CE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lastRenderedPageBreak/>
        <w:t>wysoka kultura osobista, umiejętności komunikacyjne, samodzielność; </w:t>
      </w:r>
    </w:p>
    <w:p w14:paraId="11B3B546" w14:textId="77777777" w:rsidR="008E0D3C" w:rsidRPr="008E0D3C" w:rsidRDefault="008E0D3C" w:rsidP="008E0D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E0D3C">
        <w:rPr>
          <w:rFonts w:ascii="Arial" w:eastAsiaTheme="minorEastAsia" w:hAnsi="Arial" w:cs="Arial"/>
          <w:sz w:val="21"/>
          <w:szCs w:val="21"/>
          <w:lang w:eastAsia="zh-TW"/>
        </w:rPr>
        <w:t>umiejętność rozwiązywania konfliktów. </w:t>
      </w:r>
    </w:p>
    <w:p w14:paraId="43D9326B" w14:textId="77777777" w:rsidR="008E0D3C" w:rsidRPr="00801669" w:rsidRDefault="008E0D3C" w:rsidP="008E0D3C">
      <w:pPr>
        <w:spacing w:line="360" w:lineRule="auto"/>
        <w:contextualSpacing/>
        <w:rPr>
          <w:rFonts w:ascii="Arial" w:hAnsi="Arial" w:cs="Arial"/>
          <w:b/>
        </w:rPr>
      </w:pPr>
    </w:p>
    <w:p w14:paraId="3F80DA5B" w14:textId="77777777" w:rsidR="00801669" w:rsidRPr="00EA6095" w:rsidRDefault="00801669" w:rsidP="00B86008">
      <w:pPr>
        <w:spacing w:line="360" w:lineRule="auto"/>
        <w:ind w:left="1065"/>
        <w:contextualSpacing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5DC4969E" w14:textId="15EA758B" w:rsidR="00756219" w:rsidRPr="008B31A6" w:rsidRDefault="00756219" w:rsidP="00756219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  <w:r w:rsidRPr="008B31A6">
        <w:rPr>
          <w:rFonts w:ascii="Arial" w:eastAsiaTheme="majorEastAsia" w:hAnsi="Arial" w:cs="Arial"/>
          <w:b/>
          <w:sz w:val="21"/>
          <w:szCs w:val="21"/>
          <w:lang w:eastAsia="zh-TW"/>
        </w:rPr>
        <w:t>D</w:t>
      </w:r>
      <w:r w:rsidR="00A2280F">
        <w:rPr>
          <w:rFonts w:ascii="Arial" w:eastAsiaTheme="majorEastAsia" w:hAnsi="Arial" w:cs="Arial"/>
          <w:b/>
          <w:sz w:val="21"/>
          <w:szCs w:val="21"/>
          <w:lang w:eastAsia="zh-TW"/>
        </w:rPr>
        <w:t>okumenty i oświadczenia niezbędne:</w:t>
      </w:r>
    </w:p>
    <w:p w14:paraId="59D30A68" w14:textId="1B9A2824" w:rsidR="00756219" w:rsidRPr="008B31A6" w:rsidRDefault="00756219" w:rsidP="007E44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B31A6">
        <w:rPr>
          <w:rFonts w:ascii="Arial" w:eastAsiaTheme="minorEastAsia" w:hAnsi="Arial" w:cs="Arial"/>
          <w:sz w:val="21"/>
          <w:szCs w:val="21"/>
          <w:lang w:eastAsia="zh-TW"/>
        </w:rPr>
        <w:t>życiorys/CV</w:t>
      </w:r>
      <w:r w:rsidR="00313A33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10431DE9" w14:textId="1CED5CB4" w:rsidR="00756219" w:rsidRPr="008B31A6" w:rsidRDefault="00756219" w:rsidP="007E44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B31A6">
        <w:rPr>
          <w:rFonts w:ascii="Arial" w:eastAsiaTheme="minorEastAsia" w:hAnsi="Arial" w:cs="Arial"/>
          <w:sz w:val="21"/>
          <w:szCs w:val="21"/>
          <w:lang w:eastAsia="zh-TW"/>
        </w:rPr>
        <w:t>kopie dokumentów potwierdzających spełnienie wymagania niezbędnego w zakresie wykształcenia</w:t>
      </w:r>
      <w:r w:rsidR="00313A33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79DF3D39" w14:textId="7DF8070A" w:rsidR="00756219" w:rsidRPr="008B31A6" w:rsidRDefault="00756219" w:rsidP="007E44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B31A6">
        <w:rPr>
          <w:rFonts w:ascii="Arial" w:eastAsia="Times New Roman" w:hAnsi="Arial" w:cs="Arial"/>
          <w:sz w:val="21"/>
          <w:szCs w:val="21"/>
          <w:lang w:eastAsia="pl-PL"/>
        </w:rPr>
        <w:t>kopie dokumentów potwierdzających spełnienie wymagania niezbędnego w zakresie doświadczenia zawodowego / stażu pracy</w:t>
      </w:r>
      <w:r w:rsidR="00B9105F">
        <w:rPr>
          <w:rFonts w:ascii="Arial" w:eastAsia="Times New Roman" w:hAnsi="Arial" w:cs="Arial"/>
          <w:sz w:val="21"/>
          <w:szCs w:val="21"/>
          <w:lang w:eastAsia="pl-PL"/>
        </w:rPr>
        <w:t xml:space="preserve"> (wymagane po uzyskaniu przez kandydata zaproszenia na rozmowę rekrutacyjną)</w:t>
      </w:r>
      <w:r w:rsidR="00313A33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043C9BC9" w14:textId="15A6EDD4" w:rsidR="00756219" w:rsidRDefault="00756219" w:rsidP="007E443C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B31A6">
        <w:rPr>
          <w:rFonts w:ascii="Arial" w:eastAsiaTheme="minorEastAsia" w:hAnsi="Arial" w:cs="Arial"/>
          <w:sz w:val="21"/>
          <w:szCs w:val="21"/>
          <w:lang w:eastAsia="zh-TW"/>
        </w:rPr>
        <w:t>oświadczenie kandydata/kandydatki o wyrażeniu zgody na przetwarzanie danych osobowych do celów naboru.</w:t>
      </w:r>
    </w:p>
    <w:p w14:paraId="0F74675A" w14:textId="77777777" w:rsidR="00DC09E8" w:rsidRDefault="00DC09E8" w:rsidP="00DC09E8">
      <w:pPr>
        <w:spacing w:line="360" w:lineRule="auto"/>
        <w:ind w:left="1065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38388E8" w14:textId="1FB26E4C" w:rsidR="00DC09E8" w:rsidRPr="008B31A6" w:rsidRDefault="00A2280F" w:rsidP="00DC09E8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  <w:r>
        <w:rPr>
          <w:rFonts w:ascii="Arial" w:eastAsiaTheme="majorEastAsia" w:hAnsi="Arial" w:cs="Arial"/>
          <w:b/>
          <w:sz w:val="21"/>
          <w:szCs w:val="21"/>
          <w:lang w:eastAsia="zh-TW"/>
        </w:rPr>
        <w:t>Oferujemy:</w:t>
      </w:r>
    </w:p>
    <w:p w14:paraId="454EC056" w14:textId="22A4229D" w:rsidR="00620BBB" w:rsidRPr="00801669" w:rsidRDefault="00620BBB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bookmarkStart w:id="1" w:name="_Hlk59613497"/>
      <w:r w:rsidRPr="00801669">
        <w:rPr>
          <w:rFonts w:ascii="Arial" w:eastAsiaTheme="minorEastAsia" w:hAnsi="Arial" w:cs="Arial"/>
          <w:sz w:val="21"/>
          <w:szCs w:val="21"/>
          <w:lang w:eastAsia="zh-TW"/>
        </w:rPr>
        <w:t>zatrudnienie w ramach umowy o pracę</w:t>
      </w:r>
      <w:r w:rsidR="006B3185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– pełen etat,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(pierwsza umowa na 3 miesięczny okres próbny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t>,</w:t>
      </w:r>
      <w:r w:rsidR="00313A33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druga umowa na 1 rok lub od razu na czas trwania projektu tj. do dnia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31 </w:t>
      </w:r>
      <w:r w:rsidR="00C57E33" w:rsidRPr="00801669">
        <w:rPr>
          <w:rFonts w:ascii="Arial" w:eastAsiaTheme="minorEastAsia" w:hAnsi="Arial" w:cs="Arial"/>
          <w:sz w:val="21"/>
          <w:szCs w:val="21"/>
          <w:lang w:eastAsia="zh-TW"/>
        </w:rPr>
        <w:t>grudnia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202</w:t>
      </w:r>
      <w:r w:rsidR="00C57E33" w:rsidRPr="00801669">
        <w:rPr>
          <w:rFonts w:ascii="Arial" w:eastAsiaTheme="minorEastAsia" w:hAnsi="Arial" w:cs="Arial"/>
          <w:sz w:val="21"/>
          <w:szCs w:val="21"/>
          <w:lang w:eastAsia="zh-TW"/>
        </w:rPr>
        <w:t>9</w:t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r.)</w:t>
      </w:r>
      <w:r w:rsidR="00313A33" w:rsidRPr="00801669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368896EC" w14:textId="2B1759CE" w:rsidR="0076384C" w:rsidRPr="00801669" w:rsidRDefault="0076384C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wy</w:t>
      </w:r>
      <w:r w:rsidR="003F6D29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nagrodzenie </w:t>
      </w:r>
      <w:r w:rsidR="00A2280F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zasadnicze </w:t>
      </w:r>
      <w:r w:rsidR="00224C96" w:rsidRPr="00801669">
        <w:rPr>
          <w:rFonts w:ascii="Arial" w:eastAsiaTheme="minorEastAsia" w:hAnsi="Arial" w:cs="Arial"/>
          <w:sz w:val="21"/>
          <w:szCs w:val="21"/>
          <w:lang w:eastAsia="zh-TW"/>
        </w:rPr>
        <w:t>miesięczne</w:t>
      </w:r>
      <w:r w:rsidR="00A2280F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w przedziale:</w:t>
      </w:r>
      <w:r w:rsidR="00224C96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 </w:t>
      </w:r>
      <w:r w:rsidR="00C76F0F" w:rsidRPr="00801669">
        <w:rPr>
          <w:rFonts w:ascii="Arial" w:eastAsiaTheme="minorEastAsia" w:hAnsi="Arial" w:cs="Arial"/>
          <w:sz w:val="21"/>
          <w:szCs w:val="21"/>
          <w:lang w:eastAsia="zh-TW"/>
        </w:rPr>
        <w:t>8000</w:t>
      </w:r>
      <w:r w:rsidR="00056BEA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z</w:t>
      </w:r>
      <w:r w:rsidR="00224C96" w:rsidRPr="00801669">
        <w:rPr>
          <w:rFonts w:ascii="Arial" w:eastAsiaTheme="minorEastAsia" w:hAnsi="Arial" w:cs="Arial"/>
          <w:sz w:val="21"/>
          <w:szCs w:val="21"/>
          <w:lang w:eastAsia="zh-TW"/>
        </w:rPr>
        <w:t>ł</w:t>
      </w:r>
      <w:r w:rsidR="00056BEA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- </w:t>
      </w:r>
      <w:r w:rsidR="00C76F0F" w:rsidRPr="00801669">
        <w:rPr>
          <w:rFonts w:ascii="Arial" w:eastAsiaTheme="minorEastAsia" w:hAnsi="Arial" w:cs="Arial"/>
          <w:sz w:val="21"/>
          <w:szCs w:val="21"/>
          <w:lang w:eastAsia="zh-TW"/>
        </w:rPr>
        <w:t>10000</w:t>
      </w:r>
      <w:r w:rsidR="00056BEA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zł</w:t>
      </w:r>
      <w:r w:rsidR="001B3C4E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(w zależności od doświadczenia)</w:t>
      </w:r>
      <w:r w:rsidR="00056BEA" w:rsidRPr="00801669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39DCF0E7" w14:textId="59B0C3D5" w:rsidR="00C76F0F" w:rsidRPr="00801669" w:rsidRDefault="00C76F0F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dodatek funkcyjny 10% wynagrodzenia zasadniczego;</w:t>
      </w:r>
    </w:p>
    <w:p w14:paraId="25A040FA" w14:textId="0DD097E3" w:rsidR="00995F2B" w:rsidRPr="00801669" w:rsidRDefault="00995F2B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dodatek stażowy do 20% wynagrodzenia zasadniczego (w zależności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od udokumentowanego stażu pracy);</w:t>
      </w:r>
    </w:p>
    <w:p w14:paraId="565031E6" w14:textId="51063481" w:rsidR="00766945" w:rsidRPr="00801669" w:rsidRDefault="00766945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bookmarkStart w:id="2" w:name="_Hlk222486937"/>
      <w:r w:rsidRPr="00801669">
        <w:rPr>
          <w:rFonts w:ascii="Arial" w:eastAsiaTheme="minorEastAsia" w:hAnsi="Arial" w:cs="Arial"/>
          <w:sz w:val="21"/>
          <w:szCs w:val="21"/>
          <w:lang w:eastAsia="zh-TW"/>
        </w:rPr>
        <w:t>elastyczny czas pracy</w:t>
      </w:r>
      <w:r w:rsidR="00A2280F"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 (możliwość rozpoczęcia pracy między godziną 7:00 a 10:00)</w:t>
      </w:r>
      <w:r w:rsidR="00313A33" w:rsidRPr="00801669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p w14:paraId="76192834" w14:textId="340B1E93" w:rsidR="00AE7FB7" w:rsidRPr="00801669" w:rsidRDefault="00AE7FB7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możliwość pracy hybrydowej</w:t>
      </w:r>
      <w:r w:rsidR="00E629D3" w:rsidRPr="00801669">
        <w:rPr>
          <w:rFonts w:ascii="Arial" w:eastAsiaTheme="minorEastAsia" w:hAnsi="Arial" w:cs="Arial"/>
          <w:sz w:val="21"/>
          <w:szCs w:val="21"/>
          <w:lang w:eastAsia="zh-TW"/>
        </w:rPr>
        <w:t>;</w:t>
      </w:r>
    </w:p>
    <w:bookmarkEnd w:id="1"/>
    <w:bookmarkEnd w:id="2"/>
    <w:p w14:paraId="72D795DC" w14:textId="1D33385E" w:rsidR="00AE7FB7" w:rsidRPr="00801669" w:rsidRDefault="00AE7FB7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główne miejsce pracy: położone w przepięknym parku, Muzeum Wnętrz w Otwocku Wielkim;</w:t>
      </w:r>
    </w:p>
    <w:p w14:paraId="2FB1A61A" w14:textId="1C11D2FB" w:rsidR="001B3C4E" w:rsidRPr="00801669" w:rsidRDefault="001B3C4E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pakiet socjalny: </w:t>
      </w:r>
    </w:p>
    <w:p w14:paraId="4D3DF4C8" w14:textId="77777777" w:rsidR="001B3C4E" w:rsidRPr="00801669" w:rsidRDefault="001B3C4E" w:rsidP="001B3C4E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dofinansowanie do wypoczynku pracowników i ich dzieci;</w:t>
      </w:r>
    </w:p>
    <w:p w14:paraId="5CE4857B" w14:textId="77777777" w:rsidR="001B3C4E" w:rsidRPr="00801669" w:rsidRDefault="001B3C4E" w:rsidP="001B3C4E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dofinansowanie do zakupu okularów korekcyjnych,</w:t>
      </w:r>
    </w:p>
    <w:p w14:paraId="45E19DF1" w14:textId="77777777" w:rsidR="001B3C4E" w:rsidRPr="00801669" w:rsidRDefault="001B3C4E" w:rsidP="001B3C4E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niskooprocentowane pożyczki,</w:t>
      </w:r>
    </w:p>
    <w:p w14:paraId="7B7513B8" w14:textId="77777777" w:rsidR="001B3C4E" w:rsidRPr="00801669" w:rsidRDefault="001B3C4E" w:rsidP="001B3C4E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pomoc finansowa w trudnych sytuacjach,</w:t>
      </w:r>
    </w:p>
    <w:p w14:paraId="078E672F" w14:textId="77777777" w:rsidR="001B3C4E" w:rsidRPr="00801669" w:rsidRDefault="001B3C4E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możliwość uczestniczenia na preferencyjnych warunkach (pracownicy + członkowie rodziny):</w:t>
      </w:r>
    </w:p>
    <w:p w14:paraId="7D1931DD" w14:textId="77777777" w:rsidR="001B3C4E" w:rsidRPr="00801669" w:rsidRDefault="001B3C4E" w:rsidP="00995F2B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w pakietach prywatnej opieki medycznej,</w:t>
      </w:r>
    </w:p>
    <w:p w14:paraId="4A9AE98A" w14:textId="77777777" w:rsidR="001B3C4E" w:rsidRPr="00801669" w:rsidRDefault="001B3C4E" w:rsidP="00995F2B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pakietach sportowych,</w:t>
      </w:r>
    </w:p>
    <w:p w14:paraId="33FE2F85" w14:textId="77777777" w:rsidR="001B3C4E" w:rsidRPr="00801669" w:rsidRDefault="001B3C4E" w:rsidP="00995F2B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- ubezpieczeniu grupowym na życie,</w:t>
      </w:r>
    </w:p>
    <w:p w14:paraId="534519DF" w14:textId="2A6F2049" w:rsidR="00995F2B" w:rsidRPr="00801669" w:rsidRDefault="00995F2B" w:rsidP="00995F2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lastRenderedPageBreak/>
        <w:t>przyjazną atmosferę pracy;</w:t>
      </w:r>
    </w:p>
    <w:p w14:paraId="3971D9BC" w14:textId="07E40FF7" w:rsidR="001B3C4E" w:rsidRPr="00801669" w:rsidRDefault="001B3C4E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legitymacja pracownicza upoważniająca do darmowych biletów lub zniżek w instytucjach kultury podległych </w:t>
      </w:r>
      <w:proofErr w:type="spellStart"/>
      <w:r w:rsidRPr="00801669">
        <w:rPr>
          <w:rFonts w:ascii="Arial" w:eastAsiaTheme="minorEastAsia" w:hAnsi="Arial" w:cs="Arial"/>
          <w:sz w:val="21"/>
          <w:szCs w:val="21"/>
          <w:lang w:eastAsia="zh-TW"/>
        </w:rPr>
        <w:t>MKiDN</w:t>
      </w:r>
      <w:proofErr w:type="spellEnd"/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; </w:t>
      </w:r>
    </w:p>
    <w:p w14:paraId="5FBAC1A9" w14:textId="165F9172" w:rsidR="001B3C4E" w:rsidRPr="00801669" w:rsidRDefault="001B3C4E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 xml:space="preserve">możliwość udziału w ciekawych wydarzeniach kulturalnych (bezpłatne wejścia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na wszystkie wystawy Muzeum Narodowego w Warszawie),</w:t>
      </w:r>
    </w:p>
    <w:p w14:paraId="2BEBCF88" w14:textId="77777777" w:rsidR="001B3C4E" w:rsidRPr="00801669" w:rsidRDefault="001B3C4E" w:rsidP="001B3C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801669">
        <w:rPr>
          <w:rFonts w:ascii="Arial" w:eastAsiaTheme="minorEastAsia" w:hAnsi="Arial" w:cs="Arial"/>
          <w:sz w:val="21"/>
          <w:szCs w:val="21"/>
          <w:lang w:eastAsia="zh-TW"/>
        </w:rPr>
        <w:t>dostęp do karty ICOM.</w:t>
      </w:r>
    </w:p>
    <w:p w14:paraId="35828A8E" w14:textId="77777777" w:rsidR="000C0B6A" w:rsidRPr="008B31A6" w:rsidRDefault="000C0B6A" w:rsidP="00620470">
      <w:pPr>
        <w:spacing w:line="360" w:lineRule="auto"/>
        <w:ind w:left="1065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0B58D729" w14:textId="77777777" w:rsidR="006B3185" w:rsidRDefault="006B3185" w:rsidP="00747638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E2AE84" w14:textId="4AC53A42" w:rsidR="00747638" w:rsidRPr="00990BE6" w:rsidRDefault="00747638" w:rsidP="00747638">
      <w:pPr>
        <w:spacing w:line="240" w:lineRule="auto"/>
        <w:rPr>
          <w:rFonts w:ascii="Arial" w:hAnsi="Arial" w:cs="Arial"/>
        </w:rPr>
      </w:pPr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21465F66" w14:textId="7BC17C5E" w:rsidR="00697488" w:rsidRPr="00697488" w:rsidRDefault="00697488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bookmarkStart w:id="3" w:name="_Hlk59612549"/>
      <w:bookmarkStart w:id="4" w:name="_Hlk59612570"/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dokumenty należy złożyć do: </w:t>
      </w:r>
      <w:r w:rsidR="00C57E33">
        <w:rPr>
          <w:rFonts w:ascii="Arial" w:eastAsiaTheme="minorEastAsia" w:hAnsi="Arial" w:cs="Arial"/>
          <w:sz w:val="21"/>
          <w:szCs w:val="21"/>
          <w:lang w:eastAsia="zh-TW"/>
        </w:rPr>
        <w:t>31.05.2026</w:t>
      </w:r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r., </w:t>
      </w:r>
    </w:p>
    <w:p w14:paraId="23C6A2C0" w14:textId="6B2630CF" w:rsidR="00697488" w:rsidRPr="00697488" w:rsidRDefault="00697488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wysyłając je na adres mailowy: </w:t>
      </w:r>
      <w:hyperlink r:id="rId10" w:history="1">
        <w:r w:rsidRPr="005C5292">
          <w:rPr>
            <w:rStyle w:val="Hipercze"/>
            <w:rFonts w:ascii="Arial" w:eastAsiaTheme="minorEastAsia" w:hAnsi="Arial" w:cs="Arial"/>
            <w:sz w:val="21"/>
            <w:szCs w:val="21"/>
            <w:lang w:eastAsia="zh-TW"/>
          </w:rPr>
          <w:t>rekrutacja@mnw.art.pl</w:t>
        </w:r>
      </w:hyperlink>
      <w:r>
        <w:rPr>
          <w:rFonts w:ascii="Arial" w:eastAsiaTheme="minorEastAsia" w:hAnsi="Arial" w:cs="Arial"/>
          <w:sz w:val="21"/>
          <w:szCs w:val="21"/>
          <w:lang w:eastAsia="zh-TW"/>
        </w:rPr>
        <w:t xml:space="preserve"> </w:t>
      </w:r>
    </w:p>
    <w:p w14:paraId="3E58EF0E" w14:textId="77777777" w:rsidR="00313A33" w:rsidRDefault="00313A33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>
        <w:rPr>
          <w:rFonts w:ascii="Arial" w:eastAsiaTheme="minorEastAsia" w:hAnsi="Arial" w:cs="Arial"/>
          <w:sz w:val="21"/>
          <w:szCs w:val="21"/>
          <w:lang w:eastAsia="zh-TW"/>
        </w:rPr>
        <w:t xml:space="preserve">lub </w:t>
      </w:r>
      <w:r w:rsidR="00697488" w:rsidRPr="007F35BB">
        <w:rPr>
          <w:rFonts w:ascii="Arial" w:eastAsiaTheme="minorEastAsia" w:hAnsi="Arial" w:cs="Arial"/>
          <w:sz w:val="21"/>
          <w:szCs w:val="21"/>
          <w:lang w:eastAsia="zh-TW"/>
        </w:rPr>
        <w:t xml:space="preserve">przekazując osobiście od poniedziałku do piątku w godzinach 8:00 – 15:00 </w:t>
      </w:r>
    </w:p>
    <w:p w14:paraId="3C947F44" w14:textId="0C65F447" w:rsidR="00697488" w:rsidRPr="007F35BB" w:rsidRDefault="00697488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7F35BB">
        <w:rPr>
          <w:rFonts w:ascii="Arial" w:eastAsiaTheme="minorEastAsia" w:hAnsi="Arial" w:cs="Arial"/>
          <w:sz w:val="21"/>
          <w:szCs w:val="21"/>
          <w:lang w:eastAsia="zh-TW"/>
        </w:rPr>
        <w:t xml:space="preserve">lub wysyłając drogą pocztową na adres: </w:t>
      </w:r>
    </w:p>
    <w:p w14:paraId="1ECED3A1" w14:textId="77777777" w:rsidR="00313A33" w:rsidRDefault="00697488" w:rsidP="00313A33">
      <w:pPr>
        <w:spacing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97488">
        <w:rPr>
          <w:rFonts w:ascii="Arial" w:eastAsiaTheme="minorEastAsia" w:hAnsi="Arial" w:cs="Arial"/>
          <w:sz w:val="21"/>
          <w:szCs w:val="21"/>
          <w:lang w:eastAsia="zh-TW"/>
        </w:rPr>
        <w:t>Muzeum Narodowe w Warszawie</w:t>
      </w:r>
      <w:r>
        <w:rPr>
          <w:rFonts w:ascii="Arial" w:eastAsiaTheme="minorEastAsia" w:hAnsi="Arial" w:cs="Arial"/>
          <w:sz w:val="21"/>
          <w:szCs w:val="21"/>
          <w:lang w:eastAsia="zh-TW"/>
        </w:rPr>
        <w:t>,</w:t>
      </w:r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 Dział Spraw Pracowniczych</w:t>
      </w:r>
      <w:r>
        <w:rPr>
          <w:rFonts w:ascii="Arial" w:eastAsiaTheme="minorEastAsia" w:hAnsi="Arial" w:cs="Arial"/>
          <w:sz w:val="21"/>
          <w:szCs w:val="21"/>
          <w:lang w:eastAsia="zh-TW"/>
        </w:rPr>
        <w:t>,</w:t>
      </w:r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 al. Jerozolimskie 3</w:t>
      </w:r>
      <w:r w:rsidR="00BB6BC9">
        <w:rPr>
          <w:rFonts w:ascii="Arial" w:eastAsiaTheme="minorEastAsia" w:hAnsi="Arial" w:cs="Arial"/>
          <w:sz w:val="21"/>
          <w:szCs w:val="21"/>
          <w:lang w:eastAsia="zh-TW"/>
        </w:rPr>
        <w:t xml:space="preserve">,    </w:t>
      </w:r>
    </w:p>
    <w:p w14:paraId="3A4CCC54" w14:textId="4E7FFB0C" w:rsidR="00756219" w:rsidRDefault="00697488" w:rsidP="00313A33">
      <w:pPr>
        <w:spacing w:line="360" w:lineRule="auto"/>
        <w:ind w:left="1065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97488">
        <w:rPr>
          <w:rFonts w:ascii="Arial" w:eastAsiaTheme="minorEastAsia" w:hAnsi="Arial" w:cs="Arial"/>
          <w:sz w:val="21"/>
          <w:szCs w:val="21"/>
          <w:lang w:eastAsia="zh-TW"/>
        </w:rPr>
        <w:t>00-495 Warszawa</w:t>
      </w:r>
      <w:r w:rsidR="007F35BB">
        <w:rPr>
          <w:rFonts w:ascii="Arial" w:eastAsiaTheme="minorEastAsia" w:hAnsi="Arial" w:cs="Arial"/>
          <w:sz w:val="21"/>
          <w:szCs w:val="21"/>
          <w:lang w:eastAsia="zh-TW"/>
        </w:rPr>
        <w:t>.</w:t>
      </w:r>
    </w:p>
    <w:p w14:paraId="518778AC" w14:textId="6D7CF943" w:rsidR="00697488" w:rsidRPr="00697488" w:rsidRDefault="00697488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97488">
        <w:rPr>
          <w:rFonts w:ascii="Arial" w:eastAsiaTheme="minorEastAsia" w:hAnsi="Arial" w:cs="Arial"/>
          <w:sz w:val="21"/>
          <w:szCs w:val="21"/>
          <w:lang w:eastAsia="zh-TW"/>
        </w:rPr>
        <w:t>Decyduje data wpływu oferty do muzeum (stempla pocztowego / osobistego dostarczenia)</w:t>
      </w:r>
      <w:bookmarkEnd w:id="3"/>
      <w:r w:rsidR="007F35BB">
        <w:rPr>
          <w:rFonts w:ascii="Arial" w:eastAsiaTheme="minorEastAsia" w:hAnsi="Arial" w:cs="Arial"/>
          <w:sz w:val="21"/>
          <w:szCs w:val="21"/>
          <w:lang w:eastAsia="zh-TW"/>
        </w:rPr>
        <w:t>.</w:t>
      </w:r>
    </w:p>
    <w:p w14:paraId="1666DF37" w14:textId="791C4D18" w:rsidR="00697488" w:rsidRPr="00697488" w:rsidRDefault="00697488" w:rsidP="00313A33">
      <w:pPr>
        <w:numPr>
          <w:ilvl w:val="0"/>
          <w:numId w:val="3"/>
        </w:numPr>
        <w:spacing w:line="360" w:lineRule="auto"/>
        <w:ind w:hanging="639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97488">
        <w:rPr>
          <w:rFonts w:ascii="Arial" w:eastAsiaTheme="minorEastAsia" w:hAnsi="Arial" w:cs="Arial"/>
          <w:sz w:val="21"/>
          <w:szCs w:val="21"/>
          <w:lang w:eastAsia="zh-TW"/>
        </w:rPr>
        <w:t xml:space="preserve">W tytule maila lub na kopercie prosimy o wpisanie numeru referencyjnego ogłoszenia: </w:t>
      </w:r>
      <w:r w:rsidRPr="00876535">
        <w:rPr>
          <w:rFonts w:ascii="Arial" w:eastAsiaTheme="minorEastAsia" w:hAnsi="Arial" w:cs="Arial"/>
          <w:b/>
          <w:sz w:val="24"/>
          <w:szCs w:val="24"/>
          <w:lang w:eastAsia="zh-TW"/>
        </w:rPr>
        <w:t>„Oferta pracy – 20</w:t>
      </w:r>
      <w:r w:rsidR="00A126D9">
        <w:rPr>
          <w:rFonts w:ascii="Arial" w:eastAsiaTheme="minorEastAsia" w:hAnsi="Arial" w:cs="Arial"/>
          <w:b/>
          <w:sz w:val="24"/>
          <w:szCs w:val="24"/>
          <w:lang w:eastAsia="zh-TW"/>
        </w:rPr>
        <w:t>2</w:t>
      </w:r>
      <w:r w:rsidR="000E179D">
        <w:rPr>
          <w:rFonts w:ascii="Arial" w:eastAsiaTheme="minorEastAsia" w:hAnsi="Arial" w:cs="Arial"/>
          <w:b/>
          <w:sz w:val="24"/>
          <w:szCs w:val="24"/>
          <w:lang w:eastAsia="zh-TW"/>
        </w:rPr>
        <w:t>6</w:t>
      </w:r>
      <w:r w:rsidR="00172C86">
        <w:rPr>
          <w:rFonts w:ascii="Arial" w:eastAsiaTheme="minorEastAsia" w:hAnsi="Arial" w:cs="Arial"/>
          <w:b/>
          <w:sz w:val="24"/>
          <w:szCs w:val="24"/>
          <w:lang w:eastAsia="zh-TW"/>
        </w:rPr>
        <w:t>/</w:t>
      </w:r>
      <w:r w:rsidR="00C57E33">
        <w:rPr>
          <w:rFonts w:ascii="Arial" w:eastAsiaTheme="minorEastAsia" w:hAnsi="Arial" w:cs="Arial"/>
          <w:b/>
          <w:sz w:val="24"/>
          <w:szCs w:val="24"/>
          <w:lang w:eastAsia="zh-TW"/>
        </w:rPr>
        <w:t>4/KP</w:t>
      </w:r>
      <w:r w:rsidR="000A2D18" w:rsidRPr="00876535">
        <w:rPr>
          <w:rFonts w:ascii="Arial" w:eastAsiaTheme="minorEastAsia" w:hAnsi="Arial" w:cs="Arial"/>
          <w:b/>
          <w:sz w:val="24"/>
          <w:szCs w:val="24"/>
          <w:lang w:eastAsia="zh-TW"/>
        </w:rPr>
        <w:t>/</w:t>
      </w:r>
      <w:r w:rsidR="00C57E33">
        <w:rPr>
          <w:rFonts w:ascii="Arial" w:eastAsiaTheme="minorEastAsia" w:hAnsi="Arial" w:cs="Arial"/>
          <w:b/>
          <w:sz w:val="24"/>
          <w:szCs w:val="24"/>
          <w:lang w:eastAsia="zh-TW"/>
        </w:rPr>
        <w:t>Feniks</w:t>
      </w:r>
      <w:r w:rsidRPr="00876535">
        <w:rPr>
          <w:rFonts w:ascii="Arial" w:eastAsiaTheme="minorEastAsia" w:hAnsi="Arial" w:cs="Arial"/>
          <w:b/>
          <w:sz w:val="24"/>
          <w:szCs w:val="24"/>
          <w:lang w:eastAsia="zh-TW"/>
        </w:rPr>
        <w:t>”</w:t>
      </w:r>
      <w:bookmarkEnd w:id="4"/>
    </w:p>
    <w:p w14:paraId="7AC8132A" w14:textId="68942D23" w:rsidR="00620470" w:rsidRDefault="00620470" w:rsidP="00620470">
      <w:pPr>
        <w:spacing w:after="0" w:line="360" w:lineRule="auto"/>
        <w:ind w:left="1065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7E6926ED" w14:textId="77777777" w:rsidR="002E4EE6" w:rsidRPr="003B43F7" w:rsidRDefault="002E4EE6" w:rsidP="002E4EE6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sz w:val="21"/>
          <w:szCs w:val="21"/>
          <w:lang w:eastAsia="zh-TW"/>
        </w:rPr>
      </w:pPr>
      <w:bookmarkStart w:id="5" w:name="_Hlk219461828"/>
      <w:r w:rsidRPr="003B43F7">
        <w:rPr>
          <w:rFonts w:ascii="Arial" w:eastAsiaTheme="minorEastAsia" w:hAnsi="Arial" w:cs="Arial"/>
          <w:b/>
          <w:sz w:val="21"/>
          <w:szCs w:val="21"/>
          <w:lang w:eastAsia="zh-TW"/>
        </w:rPr>
        <w:t>Pozostałe informacje</w:t>
      </w:r>
    </w:p>
    <w:p w14:paraId="23075F31" w14:textId="77777777" w:rsidR="002E4EE6" w:rsidRPr="003B43F7" w:rsidRDefault="002E4EE6" w:rsidP="002E4EE6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5"/>
    <w:p w14:paraId="6CDB8F79" w14:textId="77777777" w:rsidR="002E4EE6" w:rsidRPr="00683C6B" w:rsidRDefault="002E4EE6" w:rsidP="002E4EE6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3E1C0965" w14:textId="77777777" w:rsidR="002E4EE6" w:rsidRPr="00683C6B" w:rsidRDefault="002E4EE6" w:rsidP="002E4EE6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W ofercie należy podać dane kontaktowe, adres e mail lub/i nr telefonu. </w:t>
      </w:r>
    </w:p>
    <w:p w14:paraId="54A14C05" w14:textId="77777777" w:rsidR="002E4EE6" w:rsidRPr="00683C6B" w:rsidRDefault="002E4EE6" w:rsidP="002E4EE6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AEE3DF9" w14:textId="77777777" w:rsidR="002E4EE6" w:rsidRDefault="002E4EE6" w:rsidP="002E4EE6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30CC5159" w14:textId="77777777" w:rsidR="002E4EE6" w:rsidRPr="004700B9" w:rsidRDefault="002E4EE6" w:rsidP="002E4EE6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29599FA5" w14:textId="77777777" w:rsidR="002E4EE6" w:rsidRPr="004700B9" w:rsidRDefault="002E4EE6" w:rsidP="002E4EE6">
      <w:pPr>
        <w:numPr>
          <w:ilvl w:val="0"/>
          <w:numId w:val="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E4E4E63" w14:textId="77777777" w:rsidR="002E4EE6" w:rsidRPr="004700B9" w:rsidRDefault="002E4EE6" w:rsidP="002E4EE6">
      <w:pPr>
        <w:numPr>
          <w:ilvl w:val="0"/>
          <w:numId w:val="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4D2216D0" w14:textId="77777777" w:rsidR="002E4EE6" w:rsidRPr="008B31A6" w:rsidRDefault="002E4EE6" w:rsidP="002E4EE6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2FD2044D" w14:textId="6B5B7BCF" w:rsidR="002E4EE6" w:rsidRPr="00683C6B" w:rsidRDefault="002E4EE6" w:rsidP="002E4EE6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Kandydaci / Kandydatki spełniający wymagania formalne zostaną zakwalifikowani do kolejnego etapu naboru. Kontakt z zakwalifikowanymi do procesu rekrutacyjnego kandydatami nastąpi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683C6B">
        <w:rPr>
          <w:rFonts w:ascii="Arial" w:eastAsiaTheme="minorEastAsia" w:hAnsi="Arial" w:cs="Arial"/>
          <w:sz w:val="21"/>
          <w:szCs w:val="21"/>
          <w:lang w:eastAsia="zh-TW"/>
        </w:rPr>
        <w:lastRenderedPageBreak/>
        <w:t>w ciągu pięciu dni liczonego od terminu wskazanego na dostarczenie dokumentów aplikacyjnych. Zastrzegamy sobie prawo odpowiedzi tylko na wybrane oferty.</w:t>
      </w:r>
    </w:p>
    <w:p w14:paraId="26FBD68A" w14:textId="77777777" w:rsidR="002E4EE6" w:rsidRPr="00683C6B" w:rsidRDefault="002E4EE6" w:rsidP="002E4EE6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O terminach etapów naboru kandydaci/ kandydatki zaproszeni na spotkania będą powiadamiani telefonicznie. </w:t>
      </w:r>
    </w:p>
    <w:p w14:paraId="26623A6F" w14:textId="77777777" w:rsidR="002E4EE6" w:rsidRPr="00683C6B" w:rsidRDefault="002E4EE6" w:rsidP="002E4EE6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>Oferty odrzucone zostaną zniszczone.</w:t>
      </w:r>
    </w:p>
    <w:p w14:paraId="2168870C" w14:textId="77777777" w:rsidR="002E4EE6" w:rsidRDefault="002E4EE6" w:rsidP="002E4E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80700" w14:textId="77777777" w:rsidR="00DE23FE" w:rsidRPr="00DE23FE" w:rsidRDefault="00DE23FE" w:rsidP="00DE23FE">
      <w:pPr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E23FE">
        <w:rPr>
          <w:rFonts w:ascii="Arial" w:hAnsi="Arial" w:cs="Arial"/>
          <w:b/>
          <w:bCs/>
          <w:sz w:val="21"/>
          <w:szCs w:val="21"/>
        </w:rPr>
        <w:t>Informacja o procedurze zgłaszania naruszeń (Sygnaliści)</w:t>
      </w:r>
    </w:p>
    <w:p w14:paraId="44615DDF" w14:textId="2FA99349" w:rsidR="00DE23FE" w:rsidRPr="00DE23FE" w:rsidRDefault="00DE23FE" w:rsidP="00DE23FE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DE23FE">
          <w:rPr>
            <w:rFonts w:ascii="Arial" w:eastAsiaTheme="minorEastAsia" w:hAnsi="Arial" w:cs="Arial"/>
            <w:color w:val="2E74B5" w:themeColor="accent1" w:themeShade="BF"/>
            <w:sz w:val="21"/>
            <w:szCs w:val="21"/>
            <w:u w:val="single"/>
            <w:lang w:eastAsia="zh-TW"/>
          </w:rPr>
          <w:t>https://bip.mnw.art.pl/artykul/regulamin-zgloszen-wewnetrznych</w:t>
        </w:r>
      </w:hyperlink>
    </w:p>
    <w:p w14:paraId="098AE602" w14:textId="77777777" w:rsidR="00DE23FE" w:rsidRDefault="00DE23FE" w:rsidP="002E4EE6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14267BC3" w14:textId="77777777" w:rsidR="00DE23FE" w:rsidRDefault="00DE23FE" w:rsidP="002E4EE6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3915E23D" w14:textId="67932CB1" w:rsidR="002E4EE6" w:rsidRPr="00DE23FE" w:rsidRDefault="002E4EE6" w:rsidP="002E4EE6">
      <w:pPr>
        <w:keepNext/>
        <w:keepLines/>
        <w:spacing w:before="40" w:after="0" w:line="240" w:lineRule="auto"/>
        <w:outlineLvl w:val="1"/>
        <w:rPr>
          <w:rFonts w:ascii="Arial" w:hAnsi="Arial" w:cs="Arial"/>
          <w:sz w:val="21"/>
          <w:szCs w:val="21"/>
        </w:rPr>
      </w:pPr>
      <w:r w:rsidRPr="00DE23FE">
        <w:rPr>
          <w:rFonts w:ascii="Arial" w:eastAsiaTheme="majorEastAsia" w:hAnsi="Arial" w:cs="Arial"/>
          <w:b/>
          <w:sz w:val="21"/>
          <w:szCs w:val="21"/>
          <w:lang w:eastAsia="zh-TW"/>
        </w:rPr>
        <w:t>RODO</w:t>
      </w:r>
    </w:p>
    <w:p w14:paraId="17950F29" w14:textId="17841E54" w:rsidR="002E4EE6" w:rsidRPr="00DE23FE" w:rsidRDefault="002E4EE6" w:rsidP="002E4EE6">
      <w:pPr>
        <w:pStyle w:val="Akapitzlist"/>
        <w:numPr>
          <w:ilvl w:val="0"/>
          <w:numId w:val="9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Administratorem danych osobowych jest Muzeum Narodowe w Warszawie z siedzibą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4C7358EF" w14:textId="428C48F1" w:rsidR="002E4EE6" w:rsidRPr="00DE23FE" w:rsidRDefault="002E4EE6" w:rsidP="002E4EE6">
      <w:pPr>
        <w:pStyle w:val="Akapitzlist"/>
        <w:numPr>
          <w:ilvl w:val="0"/>
          <w:numId w:val="9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Dane osobowe przetwarzane będą̨ w celach przeprowadzenia postępowania rekrutacyjnego i obrony przed ewentualnymi roszczeniami z zakresu równego traktowania i dyskryminacji </w:t>
      </w:r>
      <w:r w:rsidR="00EE6FDA">
        <w:rPr>
          <w:rFonts w:ascii="Arial" w:eastAsiaTheme="minorEastAsia" w:hAnsi="Arial" w:cs="Arial"/>
          <w:sz w:val="21"/>
          <w:szCs w:val="21"/>
          <w:lang w:eastAsia="zh-TW"/>
        </w:rPr>
        <w:br/>
      </w:r>
      <w:bookmarkStart w:id="6" w:name="_GoBack"/>
      <w:bookmarkEnd w:id="6"/>
      <w:r w:rsidRPr="00DE23FE">
        <w:rPr>
          <w:rFonts w:ascii="Arial" w:eastAsiaTheme="minorEastAsia" w:hAnsi="Arial" w:cs="Arial"/>
          <w:sz w:val="21"/>
          <w:szCs w:val="21"/>
          <w:lang w:eastAsia="zh-TW"/>
        </w:rPr>
        <w:t>w zatrudnieniu.</w:t>
      </w:r>
    </w:p>
    <w:p w14:paraId="002795C8" w14:textId="77777777" w:rsidR="002E4EE6" w:rsidRPr="00DE23FE" w:rsidRDefault="002E4EE6" w:rsidP="002E4EE6">
      <w:pPr>
        <w:numPr>
          <w:ilvl w:val="0"/>
          <w:numId w:val="9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DE23FE">
        <w:rPr>
          <w:rFonts w:ascii="Arial" w:eastAsiaTheme="minorEastAsia" w:hAnsi="Arial" w:cs="Arial"/>
          <w:sz w:val="21"/>
          <w:szCs w:val="21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09A9BBAD" w14:textId="1225DFB6" w:rsidR="002E4EE6" w:rsidRPr="00DE23FE" w:rsidRDefault="002E4EE6" w:rsidP="002E4EE6">
      <w:pPr>
        <w:numPr>
          <w:ilvl w:val="0"/>
          <w:numId w:val="9"/>
        </w:numPr>
        <w:spacing w:after="5" w:line="301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DE23FE">
        <w:rPr>
          <w:rFonts w:ascii="Arial" w:eastAsiaTheme="minorEastAsia" w:hAnsi="Arial" w:cs="Arial"/>
          <w:sz w:val="21"/>
          <w:szCs w:val="21"/>
          <w:lang w:eastAsia="zh-TW"/>
        </w:rPr>
        <w:t xml:space="preserve">Dalsze informacje dotyczące przetwarzania danych osobowych są dostępne </w:t>
      </w:r>
      <w:r w:rsidR="00F659B0" w:rsidRPr="00DE23FE">
        <w:rPr>
          <w:rFonts w:ascii="Arial" w:eastAsiaTheme="minorEastAsia" w:hAnsi="Arial" w:cs="Arial"/>
          <w:color w:val="2E74B5" w:themeColor="accent1" w:themeShade="BF"/>
          <w:sz w:val="21"/>
          <w:szCs w:val="21"/>
          <w:u w:val="single"/>
          <w:lang w:eastAsia="zh-TW"/>
        </w:rPr>
        <w:t>https://www.mnw.art.pl/gfx/muzeumnarodowe/userfiles/_public/rodo_klauzula_informacyjna.pdf</w:t>
      </w:r>
    </w:p>
    <w:p w14:paraId="4F91A128" w14:textId="292A2ED9" w:rsidR="002E4EE6" w:rsidRPr="00DE23FE" w:rsidRDefault="002E4EE6" w:rsidP="002E4EE6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253F679" w14:textId="77777777" w:rsidR="00056BEA" w:rsidRPr="00DE23FE" w:rsidRDefault="00056BEA" w:rsidP="002E4EE6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414BEF0" w14:textId="6188B670" w:rsidR="0025727F" w:rsidRPr="008B31A6" w:rsidRDefault="0025727F" w:rsidP="00747638">
      <w:pPr>
        <w:spacing w:line="360" w:lineRule="auto"/>
        <w:jc w:val="both"/>
      </w:pPr>
    </w:p>
    <w:sectPr w:rsidR="0025727F" w:rsidRPr="008B31A6" w:rsidSect="00924E1D">
      <w:headerReference w:type="default" r:id="rId12"/>
      <w:footerReference w:type="default" r:id="rId13"/>
      <w:pgSz w:w="11906" w:h="16838"/>
      <w:pgMar w:top="1058" w:right="1274" w:bottom="1417" w:left="1417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47609" w14:textId="77777777" w:rsidR="00745EA8" w:rsidRDefault="00745EA8" w:rsidP="00C426CE">
      <w:pPr>
        <w:spacing w:after="0" w:line="240" w:lineRule="auto"/>
      </w:pPr>
      <w:r>
        <w:separator/>
      </w:r>
    </w:p>
  </w:endnote>
  <w:endnote w:type="continuationSeparator" w:id="0">
    <w:p w14:paraId="2E864369" w14:textId="77777777" w:rsidR="00745EA8" w:rsidRDefault="00745EA8" w:rsidP="00C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45451" w14:textId="77777777" w:rsidR="00745EA8" w:rsidRPr="00FB2931" w:rsidRDefault="00745EA8" w:rsidP="00FB2931">
    <w:pPr>
      <w:pStyle w:val="Stopka"/>
      <w:ind w:right="-141"/>
      <w:jc w:val="right"/>
      <w:rPr>
        <w:sz w:val="20"/>
        <w:szCs w:val="20"/>
      </w:rPr>
    </w:pPr>
  </w:p>
  <w:p w14:paraId="15D277CE" w14:textId="69521587" w:rsidR="00745EA8" w:rsidRDefault="00766945" w:rsidP="00766945">
    <w:pPr>
      <w:pStyle w:val="Stopka"/>
      <w:jc w:val="both"/>
    </w:pPr>
    <w:r w:rsidRPr="000512ED">
      <w:rPr>
        <w:sz w:val="20"/>
        <w:szCs w:val="20"/>
      </w:rPr>
      <w:t xml:space="preserve">Dotyczy projektu pn. </w:t>
    </w:r>
    <w:r w:rsidRPr="000D760A">
      <w:rPr>
        <w:sz w:val="20"/>
        <w:szCs w:val="20"/>
      </w:rPr>
      <w:t>„Apollo. Digitalizacja i udostępnianie zbiorów Muzeum Narodowego w Warszawie” realizowanego z dofinansowaniem z Programu Fundusze Europejskie na Rozwój Cyfrowy 2021-2027, Priorytet.02 Zaawansowane usługi cyfrowe, Działanie FERC.02.03 Cyfrowa dostępność i ponowne wykorzystanie informacji”</w:t>
    </w:r>
  </w:p>
  <w:p w14:paraId="464AD1CF" w14:textId="34F416D7" w:rsidR="00745EA8" w:rsidRDefault="000B0376">
    <w:pPr>
      <w:pStyle w:val="Stopka"/>
      <w:jc w:val="right"/>
    </w:pPr>
    <w:sdt>
      <w:sdtPr>
        <w:id w:val="60169680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45EA8">
              <w:t xml:space="preserve">Strona </w:t>
            </w:r>
            <w:r w:rsidR="00745EA8">
              <w:rPr>
                <w:b/>
                <w:bCs/>
                <w:sz w:val="24"/>
                <w:szCs w:val="24"/>
              </w:rPr>
              <w:fldChar w:fldCharType="begin"/>
            </w:r>
            <w:r w:rsidR="00745EA8">
              <w:rPr>
                <w:b/>
                <w:bCs/>
              </w:rPr>
              <w:instrText>PAGE</w:instrText>
            </w:r>
            <w:r w:rsidR="00745EA8">
              <w:rPr>
                <w:b/>
                <w:bCs/>
                <w:sz w:val="24"/>
                <w:szCs w:val="24"/>
              </w:rPr>
              <w:fldChar w:fldCharType="separate"/>
            </w:r>
            <w:r w:rsidR="00745EA8">
              <w:rPr>
                <w:b/>
                <w:bCs/>
                <w:noProof/>
              </w:rPr>
              <w:t>4</w:t>
            </w:r>
            <w:r w:rsidR="00745EA8">
              <w:rPr>
                <w:b/>
                <w:bCs/>
                <w:sz w:val="24"/>
                <w:szCs w:val="24"/>
              </w:rPr>
              <w:fldChar w:fldCharType="end"/>
            </w:r>
            <w:r w:rsidR="00745EA8">
              <w:t xml:space="preserve"> z </w:t>
            </w:r>
            <w:r w:rsidR="00745EA8">
              <w:rPr>
                <w:b/>
                <w:bCs/>
                <w:sz w:val="24"/>
                <w:szCs w:val="24"/>
              </w:rPr>
              <w:fldChar w:fldCharType="begin"/>
            </w:r>
            <w:r w:rsidR="00745EA8">
              <w:rPr>
                <w:b/>
                <w:bCs/>
              </w:rPr>
              <w:instrText>NUMPAGES</w:instrText>
            </w:r>
            <w:r w:rsidR="00745EA8">
              <w:rPr>
                <w:b/>
                <w:bCs/>
                <w:sz w:val="24"/>
                <w:szCs w:val="24"/>
              </w:rPr>
              <w:fldChar w:fldCharType="separate"/>
            </w:r>
            <w:r w:rsidR="00745EA8">
              <w:rPr>
                <w:b/>
                <w:bCs/>
                <w:noProof/>
              </w:rPr>
              <w:t>4</w:t>
            </w:r>
            <w:r w:rsidR="00745EA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F5FBFFA" w14:textId="77777777" w:rsidR="00745EA8" w:rsidRDefault="00745E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F85EC" w14:textId="77777777" w:rsidR="00745EA8" w:rsidRDefault="00745EA8" w:rsidP="00C426CE">
      <w:pPr>
        <w:spacing w:after="0" w:line="240" w:lineRule="auto"/>
      </w:pPr>
      <w:r>
        <w:separator/>
      </w:r>
    </w:p>
  </w:footnote>
  <w:footnote w:type="continuationSeparator" w:id="0">
    <w:p w14:paraId="647A9761" w14:textId="77777777" w:rsidR="00745EA8" w:rsidRDefault="00745EA8" w:rsidP="00C4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3A8B" w14:textId="577B7721" w:rsidR="00745EA8" w:rsidRDefault="00924E1D" w:rsidP="00924E1D">
    <w:pPr>
      <w:pStyle w:val="Nagwek"/>
      <w:ind w:left="-851" w:right="-141" w:firstLine="425"/>
    </w:pPr>
    <w:r>
      <w:t>`</w:t>
    </w:r>
    <w:r w:rsidR="00745EA8">
      <w:t xml:space="preserve">                                     </w:t>
    </w:r>
  </w:p>
  <w:p w14:paraId="3C0DA0DE" w14:textId="77777777" w:rsidR="00745EA8" w:rsidRDefault="00745EA8" w:rsidP="009435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149"/>
    <w:multiLevelType w:val="multilevel"/>
    <w:tmpl w:val="9358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182"/>
    <w:multiLevelType w:val="multilevel"/>
    <w:tmpl w:val="81BC9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A28D5"/>
    <w:multiLevelType w:val="multilevel"/>
    <w:tmpl w:val="50A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A1D06"/>
    <w:multiLevelType w:val="multilevel"/>
    <w:tmpl w:val="2632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B29AC"/>
    <w:multiLevelType w:val="multilevel"/>
    <w:tmpl w:val="A95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251A0"/>
    <w:multiLevelType w:val="multilevel"/>
    <w:tmpl w:val="47D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00185"/>
    <w:multiLevelType w:val="multilevel"/>
    <w:tmpl w:val="096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931BF"/>
    <w:multiLevelType w:val="hybridMultilevel"/>
    <w:tmpl w:val="42A4E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580"/>
    <w:multiLevelType w:val="multilevel"/>
    <w:tmpl w:val="BC1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C43C4"/>
    <w:multiLevelType w:val="multilevel"/>
    <w:tmpl w:val="06C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72A34"/>
    <w:multiLevelType w:val="multilevel"/>
    <w:tmpl w:val="98E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D130E"/>
    <w:multiLevelType w:val="multilevel"/>
    <w:tmpl w:val="5BF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C47E4"/>
    <w:multiLevelType w:val="multilevel"/>
    <w:tmpl w:val="8C0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F0728"/>
    <w:multiLevelType w:val="multilevel"/>
    <w:tmpl w:val="961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7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36EE"/>
    <w:multiLevelType w:val="multilevel"/>
    <w:tmpl w:val="F4D8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34789"/>
    <w:multiLevelType w:val="multilevel"/>
    <w:tmpl w:val="37E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C31543"/>
    <w:multiLevelType w:val="hybridMultilevel"/>
    <w:tmpl w:val="B21209F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83B08"/>
    <w:multiLevelType w:val="multilevel"/>
    <w:tmpl w:val="D4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7164B1"/>
    <w:multiLevelType w:val="multilevel"/>
    <w:tmpl w:val="3C4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A5032"/>
    <w:multiLevelType w:val="multilevel"/>
    <w:tmpl w:val="88C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91EFB"/>
    <w:multiLevelType w:val="multilevel"/>
    <w:tmpl w:val="54DE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1264C"/>
    <w:multiLevelType w:val="multilevel"/>
    <w:tmpl w:val="CFC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05405"/>
    <w:multiLevelType w:val="multilevel"/>
    <w:tmpl w:val="008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17898"/>
    <w:multiLevelType w:val="multilevel"/>
    <w:tmpl w:val="823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35C5A"/>
    <w:multiLevelType w:val="multilevel"/>
    <w:tmpl w:val="457A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C1C2F"/>
    <w:multiLevelType w:val="multilevel"/>
    <w:tmpl w:val="FA1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F1FDD"/>
    <w:multiLevelType w:val="multilevel"/>
    <w:tmpl w:val="443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44E79"/>
    <w:multiLevelType w:val="hybridMultilevel"/>
    <w:tmpl w:val="5DFC2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945283"/>
    <w:multiLevelType w:val="multilevel"/>
    <w:tmpl w:val="86A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C53F3F"/>
    <w:multiLevelType w:val="multilevel"/>
    <w:tmpl w:val="071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58520E"/>
    <w:multiLevelType w:val="multilevel"/>
    <w:tmpl w:val="645E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3C6F8A"/>
    <w:multiLevelType w:val="multilevel"/>
    <w:tmpl w:val="95B8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80275E"/>
    <w:multiLevelType w:val="multilevel"/>
    <w:tmpl w:val="0DE8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317DC"/>
    <w:multiLevelType w:val="multilevel"/>
    <w:tmpl w:val="ED9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C42FE9"/>
    <w:multiLevelType w:val="multilevel"/>
    <w:tmpl w:val="57C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2C7E27"/>
    <w:multiLevelType w:val="multilevel"/>
    <w:tmpl w:val="C49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A2779D"/>
    <w:multiLevelType w:val="multilevel"/>
    <w:tmpl w:val="17B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11406D"/>
    <w:multiLevelType w:val="multilevel"/>
    <w:tmpl w:val="9EC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4F1FA5"/>
    <w:multiLevelType w:val="multilevel"/>
    <w:tmpl w:val="8A1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D27D12"/>
    <w:multiLevelType w:val="multilevel"/>
    <w:tmpl w:val="0178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5308AF"/>
    <w:multiLevelType w:val="multilevel"/>
    <w:tmpl w:val="C5D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457B13"/>
    <w:multiLevelType w:val="multilevel"/>
    <w:tmpl w:val="CBA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67D51"/>
    <w:multiLevelType w:val="multilevel"/>
    <w:tmpl w:val="C63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9"/>
  </w:num>
  <w:num w:numId="5">
    <w:abstractNumId w:val="1"/>
  </w:num>
  <w:num w:numId="6">
    <w:abstractNumId w:val="33"/>
  </w:num>
  <w:num w:numId="7">
    <w:abstractNumId w:val="8"/>
  </w:num>
  <w:num w:numId="8">
    <w:abstractNumId w:val="23"/>
  </w:num>
  <w:num w:numId="9">
    <w:abstractNumId w:val="16"/>
  </w:num>
  <w:num w:numId="10">
    <w:abstractNumId w:val="3"/>
  </w:num>
  <w:num w:numId="11">
    <w:abstractNumId w:val="42"/>
  </w:num>
  <w:num w:numId="12">
    <w:abstractNumId w:val="49"/>
  </w:num>
  <w:num w:numId="13">
    <w:abstractNumId w:val="10"/>
  </w:num>
  <w:num w:numId="14">
    <w:abstractNumId w:val="18"/>
  </w:num>
  <w:num w:numId="15">
    <w:abstractNumId w:val="11"/>
  </w:num>
  <w:num w:numId="16">
    <w:abstractNumId w:val="29"/>
  </w:num>
  <w:num w:numId="17">
    <w:abstractNumId w:val="22"/>
  </w:num>
  <w:num w:numId="18">
    <w:abstractNumId w:val="37"/>
  </w:num>
  <w:num w:numId="19">
    <w:abstractNumId w:val="5"/>
  </w:num>
  <w:num w:numId="20">
    <w:abstractNumId w:val="44"/>
  </w:num>
  <w:num w:numId="21">
    <w:abstractNumId w:val="30"/>
  </w:num>
  <w:num w:numId="22">
    <w:abstractNumId w:val="2"/>
  </w:num>
  <w:num w:numId="23">
    <w:abstractNumId w:val="7"/>
  </w:num>
  <w:num w:numId="24">
    <w:abstractNumId w:val="13"/>
  </w:num>
  <w:num w:numId="25">
    <w:abstractNumId w:val="25"/>
  </w:num>
  <w:num w:numId="26">
    <w:abstractNumId w:val="28"/>
  </w:num>
  <w:num w:numId="27">
    <w:abstractNumId w:val="43"/>
  </w:num>
  <w:num w:numId="28">
    <w:abstractNumId w:val="39"/>
  </w:num>
  <w:num w:numId="29">
    <w:abstractNumId w:val="46"/>
  </w:num>
  <w:num w:numId="30">
    <w:abstractNumId w:val="26"/>
  </w:num>
  <w:num w:numId="31">
    <w:abstractNumId w:val="32"/>
  </w:num>
  <w:num w:numId="32">
    <w:abstractNumId w:val="48"/>
  </w:num>
  <w:num w:numId="33">
    <w:abstractNumId w:val="19"/>
  </w:num>
  <w:num w:numId="34">
    <w:abstractNumId w:val="34"/>
  </w:num>
  <w:num w:numId="35">
    <w:abstractNumId w:val="47"/>
  </w:num>
  <w:num w:numId="36">
    <w:abstractNumId w:val="12"/>
  </w:num>
  <w:num w:numId="37">
    <w:abstractNumId w:val="36"/>
  </w:num>
  <w:num w:numId="38">
    <w:abstractNumId w:val="15"/>
  </w:num>
  <w:num w:numId="39">
    <w:abstractNumId w:val="4"/>
  </w:num>
  <w:num w:numId="40">
    <w:abstractNumId w:val="0"/>
  </w:num>
  <w:num w:numId="41">
    <w:abstractNumId w:val="6"/>
  </w:num>
  <w:num w:numId="42">
    <w:abstractNumId w:val="41"/>
  </w:num>
  <w:num w:numId="43">
    <w:abstractNumId w:val="14"/>
  </w:num>
  <w:num w:numId="44">
    <w:abstractNumId w:val="27"/>
  </w:num>
  <w:num w:numId="45">
    <w:abstractNumId w:val="24"/>
  </w:num>
  <w:num w:numId="46">
    <w:abstractNumId w:val="40"/>
  </w:num>
  <w:num w:numId="47">
    <w:abstractNumId w:val="45"/>
  </w:num>
  <w:num w:numId="48">
    <w:abstractNumId w:val="35"/>
  </w:num>
  <w:num w:numId="49">
    <w:abstractNumId w:val="38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CE"/>
    <w:rsid w:val="000109FE"/>
    <w:rsid w:val="00040AF6"/>
    <w:rsid w:val="000512ED"/>
    <w:rsid w:val="00056BEA"/>
    <w:rsid w:val="00062F18"/>
    <w:rsid w:val="000A2D18"/>
    <w:rsid w:val="000C0B6A"/>
    <w:rsid w:val="000E179D"/>
    <w:rsid w:val="000F1B32"/>
    <w:rsid w:val="000F516B"/>
    <w:rsid w:val="001624E4"/>
    <w:rsid w:val="00172C86"/>
    <w:rsid w:val="001A4BAB"/>
    <w:rsid w:val="001B3C4E"/>
    <w:rsid w:val="001B7E72"/>
    <w:rsid w:val="001D7BF7"/>
    <w:rsid w:val="00224C96"/>
    <w:rsid w:val="00227572"/>
    <w:rsid w:val="00227685"/>
    <w:rsid w:val="002520BA"/>
    <w:rsid w:val="0025727F"/>
    <w:rsid w:val="00261897"/>
    <w:rsid w:val="00285439"/>
    <w:rsid w:val="002E4EE6"/>
    <w:rsid w:val="00313A33"/>
    <w:rsid w:val="00313FF7"/>
    <w:rsid w:val="0031557D"/>
    <w:rsid w:val="0031642F"/>
    <w:rsid w:val="003751C8"/>
    <w:rsid w:val="00393D99"/>
    <w:rsid w:val="003B48E3"/>
    <w:rsid w:val="003D7197"/>
    <w:rsid w:val="003F1D07"/>
    <w:rsid w:val="003F6D29"/>
    <w:rsid w:val="004159F8"/>
    <w:rsid w:val="00432DEF"/>
    <w:rsid w:val="0045037C"/>
    <w:rsid w:val="004E4740"/>
    <w:rsid w:val="00525336"/>
    <w:rsid w:val="00536AC5"/>
    <w:rsid w:val="00541C11"/>
    <w:rsid w:val="00560FBA"/>
    <w:rsid w:val="00580241"/>
    <w:rsid w:val="00620470"/>
    <w:rsid w:val="00620BBB"/>
    <w:rsid w:val="00623748"/>
    <w:rsid w:val="006255F6"/>
    <w:rsid w:val="00626DB2"/>
    <w:rsid w:val="00633426"/>
    <w:rsid w:val="00652F80"/>
    <w:rsid w:val="00697488"/>
    <w:rsid w:val="006B3185"/>
    <w:rsid w:val="006B7997"/>
    <w:rsid w:val="006C611E"/>
    <w:rsid w:val="00720BEC"/>
    <w:rsid w:val="00745EA8"/>
    <w:rsid w:val="00747638"/>
    <w:rsid w:val="00756219"/>
    <w:rsid w:val="0076384C"/>
    <w:rsid w:val="00766945"/>
    <w:rsid w:val="007726AE"/>
    <w:rsid w:val="00776E55"/>
    <w:rsid w:val="007A42FE"/>
    <w:rsid w:val="007A7300"/>
    <w:rsid w:val="007E24C9"/>
    <w:rsid w:val="007E443C"/>
    <w:rsid w:val="007E4961"/>
    <w:rsid w:val="007F0034"/>
    <w:rsid w:val="007F35BB"/>
    <w:rsid w:val="00801669"/>
    <w:rsid w:val="00814E11"/>
    <w:rsid w:val="00861889"/>
    <w:rsid w:val="00876535"/>
    <w:rsid w:val="008A6664"/>
    <w:rsid w:val="008B31A6"/>
    <w:rsid w:val="008E0D3C"/>
    <w:rsid w:val="008E5C9D"/>
    <w:rsid w:val="009078F7"/>
    <w:rsid w:val="00924E1D"/>
    <w:rsid w:val="00934165"/>
    <w:rsid w:val="00943589"/>
    <w:rsid w:val="009549AF"/>
    <w:rsid w:val="0099479C"/>
    <w:rsid w:val="00995F2B"/>
    <w:rsid w:val="00996F1B"/>
    <w:rsid w:val="009F0F0A"/>
    <w:rsid w:val="00A042F9"/>
    <w:rsid w:val="00A11857"/>
    <w:rsid w:val="00A126D9"/>
    <w:rsid w:val="00A2280F"/>
    <w:rsid w:val="00A3441B"/>
    <w:rsid w:val="00A46AB6"/>
    <w:rsid w:val="00A64D09"/>
    <w:rsid w:val="00A65C36"/>
    <w:rsid w:val="00AB24F6"/>
    <w:rsid w:val="00AB36B6"/>
    <w:rsid w:val="00AB4E01"/>
    <w:rsid w:val="00AB79F1"/>
    <w:rsid w:val="00AD3D93"/>
    <w:rsid w:val="00AE7FB7"/>
    <w:rsid w:val="00B366E4"/>
    <w:rsid w:val="00B61ADC"/>
    <w:rsid w:val="00B65E29"/>
    <w:rsid w:val="00B80396"/>
    <w:rsid w:val="00B86008"/>
    <w:rsid w:val="00B9105F"/>
    <w:rsid w:val="00BA223A"/>
    <w:rsid w:val="00BB6BC9"/>
    <w:rsid w:val="00BE6F24"/>
    <w:rsid w:val="00BF2E69"/>
    <w:rsid w:val="00C04041"/>
    <w:rsid w:val="00C04EAE"/>
    <w:rsid w:val="00C105A1"/>
    <w:rsid w:val="00C144DD"/>
    <w:rsid w:val="00C31418"/>
    <w:rsid w:val="00C32240"/>
    <w:rsid w:val="00C426CE"/>
    <w:rsid w:val="00C57E33"/>
    <w:rsid w:val="00C60328"/>
    <w:rsid w:val="00C7648A"/>
    <w:rsid w:val="00C76F0F"/>
    <w:rsid w:val="00CA75B0"/>
    <w:rsid w:val="00CD0502"/>
    <w:rsid w:val="00CF548B"/>
    <w:rsid w:val="00D102F6"/>
    <w:rsid w:val="00D17393"/>
    <w:rsid w:val="00D305DC"/>
    <w:rsid w:val="00D41C1B"/>
    <w:rsid w:val="00D54A01"/>
    <w:rsid w:val="00D77EC1"/>
    <w:rsid w:val="00D92E93"/>
    <w:rsid w:val="00DA2506"/>
    <w:rsid w:val="00DC09E8"/>
    <w:rsid w:val="00DE23FE"/>
    <w:rsid w:val="00E020A0"/>
    <w:rsid w:val="00E043C4"/>
    <w:rsid w:val="00E15EA8"/>
    <w:rsid w:val="00E231E0"/>
    <w:rsid w:val="00E629D3"/>
    <w:rsid w:val="00E66B72"/>
    <w:rsid w:val="00E67CCD"/>
    <w:rsid w:val="00EA6095"/>
    <w:rsid w:val="00ED380C"/>
    <w:rsid w:val="00EE6FDA"/>
    <w:rsid w:val="00EF7AFC"/>
    <w:rsid w:val="00F07A01"/>
    <w:rsid w:val="00F659B0"/>
    <w:rsid w:val="00F7041E"/>
    <w:rsid w:val="00FA5839"/>
    <w:rsid w:val="00FB2931"/>
    <w:rsid w:val="00FD50D4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18A1AA"/>
  <w15:docId w15:val="{9045FE89-F1E8-44BB-85F4-7FCAA75C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0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6CE"/>
  </w:style>
  <w:style w:type="paragraph" w:styleId="Stopka">
    <w:name w:val="footer"/>
    <w:basedOn w:val="Normalny"/>
    <w:link w:val="StopkaZnak"/>
    <w:uiPriority w:val="99"/>
    <w:unhideWhenUsed/>
    <w:rsid w:val="00C4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6CE"/>
  </w:style>
  <w:style w:type="paragraph" w:styleId="Tekstdymka">
    <w:name w:val="Balloon Text"/>
    <w:basedOn w:val="Normalny"/>
    <w:link w:val="TekstdymkaZnak"/>
    <w:uiPriority w:val="99"/>
    <w:semiHidden/>
    <w:unhideWhenUsed/>
    <w:rsid w:val="0028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4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24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6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219"/>
    <w:rPr>
      <w:sz w:val="20"/>
      <w:szCs w:val="20"/>
    </w:rPr>
  </w:style>
  <w:style w:type="paragraph" w:customStyle="1" w:styleId="Default">
    <w:name w:val="Default"/>
    <w:rsid w:val="00697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74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748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42F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E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E0D3C"/>
  </w:style>
  <w:style w:type="character" w:customStyle="1" w:styleId="eop">
    <w:name w:val="eop"/>
    <w:basedOn w:val="Domylnaczcionkaakapitu"/>
    <w:rsid w:val="008E0D3C"/>
  </w:style>
  <w:style w:type="character" w:customStyle="1" w:styleId="scxw106534037">
    <w:name w:val="scxw106534037"/>
    <w:basedOn w:val="Domylnaczcionkaakapitu"/>
    <w:rsid w:val="008E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d7cedef86b60f9a531a7297e652382e5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85fdeb8fa344b991e041c4ecd617cad4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A4FB3-F5B4-437E-8FAC-452C6560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60874-779D-4FD9-AEBB-3014E0B6FDAE}">
  <ds:schemaRefs>
    <ds:schemaRef ds:uri="918d6ea1-0aca-4096-b32d-f5b3f855ab3b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68a9da98-38be-43de-bf0a-21ac73aeb76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61E88A-4558-4C23-A8F0-12DC43128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 MNW</dc:creator>
  <cp:lastModifiedBy>Eryk Zonik</cp:lastModifiedBy>
  <cp:revision>9</cp:revision>
  <cp:lastPrinted>2020-12-29T08:39:00Z</cp:lastPrinted>
  <dcterms:created xsi:type="dcterms:W3CDTF">2026-05-17T19:57:00Z</dcterms:created>
  <dcterms:modified xsi:type="dcterms:W3CDTF">2026-05-17T20:45:00Z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